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646CB" w14:textId="77777777" w:rsidR="00B8152B" w:rsidRDefault="00000000">
      <w:r>
        <w:pict w14:anchorId="45642A50">
          <v:rect id="_x0000_i1025" style="width:404.35pt;height:.4pt" o:hrpct="896" o:hralign="center" o:hrstd="t" o:hr="t" fillcolor="#a0a0a0" stroked="f"/>
        </w:pict>
      </w:r>
    </w:p>
    <w:p w14:paraId="21E6C558" w14:textId="478D1AEF" w:rsidR="00B8152B" w:rsidRPr="00D77EB7" w:rsidRDefault="00891D60">
      <w:pPr>
        <w:rPr>
          <w:bCs/>
          <w:color w:val="000000" w:themeColor="text1"/>
          <w:sz w:val="24"/>
          <w:szCs w:val="24"/>
          <w:u w:val="single"/>
        </w:rPr>
      </w:pPr>
      <w:r w:rsidRPr="00D77EB7">
        <w:rPr>
          <w:bCs/>
          <w:color w:val="000000" w:themeColor="text1"/>
          <w:sz w:val="24"/>
          <w:szCs w:val="24"/>
          <w:u w:val="single"/>
        </w:rPr>
        <w:t xml:space="preserve">Relevant guidance: </w:t>
      </w:r>
    </w:p>
    <w:p w14:paraId="2D2D9484" w14:textId="25667304" w:rsidR="004548FB" w:rsidRDefault="004548FB" w:rsidP="004F3FC5">
      <w:pPr>
        <w:pStyle w:val="ListParagraph"/>
        <w:numPr>
          <w:ilvl w:val="0"/>
          <w:numId w:val="2"/>
        </w:numPr>
        <w:rPr>
          <w:rStyle w:val="Hyperlink"/>
          <w:sz w:val="24"/>
          <w:szCs w:val="24"/>
        </w:rPr>
      </w:pPr>
      <w:hyperlink r:id="rId8" w:history="1">
        <w:r w:rsidRPr="004F3FC5">
          <w:rPr>
            <w:rStyle w:val="Hyperlink"/>
            <w:sz w:val="24"/>
            <w:szCs w:val="24"/>
          </w:rPr>
          <w:t>Suspension and permanent exclusion from maintained schools, academies and pupil referral units in England, including pupil movement</w:t>
        </w:r>
      </w:hyperlink>
    </w:p>
    <w:p w14:paraId="21F4FD26" w14:textId="3B9656B9" w:rsidR="00CA2AE7" w:rsidRPr="009D6DAE" w:rsidRDefault="00000000" w:rsidP="00702447">
      <w:r>
        <w:pict w14:anchorId="73591562">
          <v:rect id="_x0000_i1026" style="width:404.35pt;height:.4pt" o:hrpct="896" o:hralign="center" o:hrstd="t" o:hr="t" fillcolor="#a0a0a0" stroked="f"/>
        </w:pict>
      </w:r>
    </w:p>
    <w:p w14:paraId="48A753BC" w14:textId="77777777" w:rsidR="004548FB" w:rsidRDefault="004548FB" w:rsidP="004548FB">
      <w:pPr>
        <w:rPr>
          <w:bCs/>
          <w:color w:val="000000" w:themeColor="text1"/>
          <w:sz w:val="24"/>
          <w:szCs w:val="24"/>
          <w:u w:val="single"/>
        </w:rPr>
      </w:pPr>
      <w:r w:rsidRPr="00D77EB7">
        <w:rPr>
          <w:bCs/>
          <w:color w:val="000000" w:themeColor="text1"/>
          <w:sz w:val="24"/>
          <w:szCs w:val="24"/>
          <w:u w:val="single"/>
        </w:rPr>
        <w:t>Relevant excerpts:</w:t>
      </w:r>
    </w:p>
    <w:p w14:paraId="2D470061" w14:textId="442DCDB5" w:rsidR="00FE1F14" w:rsidRDefault="00FE1F14" w:rsidP="00FE1F14">
      <w:pPr>
        <w:pStyle w:val="ListParagraph"/>
        <w:numPr>
          <w:ilvl w:val="0"/>
          <w:numId w:val="2"/>
        </w:numPr>
        <w:rPr>
          <w:bCs/>
          <w:i/>
          <w:iCs/>
          <w:color w:val="000000" w:themeColor="text1"/>
          <w:sz w:val="24"/>
          <w:szCs w:val="24"/>
        </w:rPr>
      </w:pPr>
      <w:r>
        <w:rPr>
          <w:bCs/>
          <w:i/>
          <w:iCs/>
          <w:color w:val="000000" w:themeColor="text1"/>
          <w:sz w:val="24"/>
          <w:szCs w:val="24"/>
        </w:rPr>
        <w:t>“</w:t>
      </w:r>
      <w:r w:rsidRPr="00FE1F14">
        <w:rPr>
          <w:bCs/>
          <w:i/>
          <w:iCs/>
          <w:color w:val="000000" w:themeColor="text1"/>
          <w:sz w:val="24"/>
          <w:szCs w:val="24"/>
        </w:rPr>
        <w:t>Any decision of a headteacher, including suspension or permanent exclusion, must be made in line with the principles of administrative law, i.e. that it is: lawful (with respect to the legislation relating directly to suspensions and permanent exclusions and a school’s wider legal duties); reasonable; fair; and proportionate.</w:t>
      </w:r>
      <w:r>
        <w:rPr>
          <w:bCs/>
          <w:i/>
          <w:iCs/>
          <w:color w:val="000000" w:themeColor="text1"/>
          <w:sz w:val="24"/>
          <w:szCs w:val="24"/>
        </w:rPr>
        <w:t>”</w:t>
      </w:r>
    </w:p>
    <w:p w14:paraId="149FB44B" w14:textId="38FEE479" w:rsidR="00FE1F14" w:rsidRDefault="00FE1F14" w:rsidP="004C7E90">
      <w:pPr>
        <w:ind w:left="720"/>
        <w:rPr>
          <w:rStyle w:val="Hyperlink"/>
          <w:sz w:val="24"/>
          <w:szCs w:val="24"/>
        </w:rPr>
      </w:pPr>
      <w:r w:rsidRPr="00FE1F14">
        <w:rPr>
          <w:bCs/>
          <w:color w:val="000000" w:themeColor="text1"/>
          <w:sz w:val="24"/>
          <w:szCs w:val="24"/>
        </w:rPr>
        <w:t>Paragraph 2:</w:t>
      </w:r>
      <w:r>
        <w:rPr>
          <w:bCs/>
          <w:color w:val="000000" w:themeColor="text1"/>
          <w:sz w:val="24"/>
          <w:szCs w:val="24"/>
        </w:rPr>
        <w:t xml:space="preserve"> </w:t>
      </w:r>
      <w:hyperlink r:id="rId9" w:history="1">
        <w:r w:rsidRPr="004F3FC5">
          <w:rPr>
            <w:rStyle w:val="Hyperlink"/>
            <w:sz w:val="24"/>
            <w:szCs w:val="24"/>
          </w:rPr>
          <w:t>Suspension and permanent exclusion from maintained schools, academies and pupil referral units in England, including pupil movement</w:t>
        </w:r>
      </w:hyperlink>
    </w:p>
    <w:p w14:paraId="2217E27F" w14:textId="2750FD60" w:rsidR="00322426" w:rsidRDefault="00322426" w:rsidP="00322426">
      <w:pPr>
        <w:pStyle w:val="ListParagraph"/>
        <w:numPr>
          <w:ilvl w:val="0"/>
          <w:numId w:val="2"/>
        </w:numPr>
        <w:rPr>
          <w:bCs/>
          <w:i/>
          <w:iCs/>
          <w:color w:val="000000" w:themeColor="text1"/>
          <w:sz w:val="24"/>
          <w:szCs w:val="24"/>
        </w:rPr>
      </w:pPr>
      <w:r>
        <w:rPr>
          <w:bCs/>
          <w:i/>
          <w:iCs/>
          <w:color w:val="000000" w:themeColor="text1"/>
          <w:sz w:val="24"/>
          <w:szCs w:val="24"/>
        </w:rPr>
        <w:t>“</w:t>
      </w:r>
      <w:r w:rsidRPr="00322426">
        <w:rPr>
          <w:bCs/>
          <w:i/>
          <w:iCs/>
          <w:color w:val="000000" w:themeColor="text1"/>
          <w:sz w:val="24"/>
          <w:szCs w:val="24"/>
        </w:rPr>
        <w:t xml:space="preserve">Public law principles underpin good decision making. All decisions of a governing board must be made in accordance with public law. Panels are expected to understand the legislation that is relevant to suspensions and permanent exclusions and the legal principles that apply. Headteachers and governing board members of panels are likely to have </w:t>
      </w:r>
      <w:proofErr w:type="spellStart"/>
      <w:r w:rsidRPr="00322426">
        <w:rPr>
          <w:bCs/>
          <w:i/>
          <w:iCs/>
          <w:color w:val="000000" w:themeColor="text1"/>
          <w:sz w:val="24"/>
          <w:szCs w:val="24"/>
        </w:rPr>
        <w:t>first hand</w:t>
      </w:r>
      <w:proofErr w:type="spellEnd"/>
      <w:r w:rsidRPr="00322426">
        <w:rPr>
          <w:bCs/>
          <w:i/>
          <w:iCs/>
          <w:color w:val="000000" w:themeColor="text1"/>
          <w:sz w:val="24"/>
          <w:szCs w:val="24"/>
        </w:rPr>
        <w:t xml:space="preserve"> experience of the education context that may be relevant to considerations about whether a decision was reasonable in the circumstances.</w:t>
      </w:r>
      <w:r>
        <w:rPr>
          <w:bCs/>
          <w:i/>
          <w:iCs/>
          <w:color w:val="000000" w:themeColor="text1"/>
          <w:sz w:val="24"/>
          <w:szCs w:val="24"/>
        </w:rPr>
        <w:t>”</w:t>
      </w:r>
    </w:p>
    <w:p w14:paraId="68AE4DAC" w14:textId="258FD019" w:rsidR="00322426" w:rsidRPr="00322426" w:rsidRDefault="00322426" w:rsidP="004C7E90">
      <w:pPr>
        <w:ind w:left="720"/>
        <w:rPr>
          <w:color w:val="0563C1" w:themeColor="hyperlink"/>
          <w:sz w:val="24"/>
          <w:szCs w:val="24"/>
          <w:u w:val="single"/>
        </w:rPr>
      </w:pPr>
      <w:r w:rsidRPr="00322426">
        <w:rPr>
          <w:bCs/>
          <w:color w:val="000000" w:themeColor="text1"/>
          <w:sz w:val="24"/>
          <w:szCs w:val="24"/>
        </w:rPr>
        <w:t>Paragraph 2</w:t>
      </w:r>
      <w:r>
        <w:rPr>
          <w:bCs/>
          <w:color w:val="000000" w:themeColor="text1"/>
          <w:sz w:val="24"/>
          <w:szCs w:val="24"/>
        </w:rPr>
        <w:t>26</w:t>
      </w:r>
      <w:r w:rsidRPr="00322426">
        <w:rPr>
          <w:bCs/>
          <w:color w:val="000000" w:themeColor="text1"/>
          <w:sz w:val="24"/>
          <w:szCs w:val="24"/>
        </w:rPr>
        <w:t xml:space="preserve">: </w:t>
      </w:r>
      <w:hyperlink r:id="rId10" w:history="1">
        <w:r w:rsidRPr="00322426">
          <w:rPr>
            <w:rStyle w:val="Hyperlink"/>
            <w:sz w:val="24"/>
            <w:szCs w:val="24"/>
          </w:rPr>
          <w:t>Suspension and permanent exclusion from maintained schools, academies and pupil referral units in England, including pupil movement</w:t>
        </w:r>
      </w:hyperlink>
    </w:p>
    <w:p w14:paraId="6F54B8D0" w14:textId="43ADD165" w:rsidR="000D57CB" w:rsidRPr="00FE1F14" w:rsidRDefault="00000000" w:rsidP="009D6DAE">
      <w:pPr>
        <w:rPr>
          <w:rStyle w:val="Hyperlink"/>
          <w:i/>
        </w:rPr>
      </w:pPr>
      <w:r>
        <w:pict w14:anchorId="6F0BFC92">
          <v:rect id="_x0000_i1027" style="width:404.35pt;height:.4pt" o:hrpct="896" o:hralign="center" o:hrstd="t" o:hr="t" fillcolor="#a0a0a0" stroked="f"/>
        </w:pict>
      </w:r>
    </w:p>
    <w:p w14:paraId="623ABEC4" w14:textId="7E46E2A2" w:rsidR="009043F7" w:rsidRPr="00D77EB7" w:rsidRDefault="00CA2AE7" w:rsidP="009D6DAE">
      <w:pPr>
        <w:rPr>
          <w:rStyle w:val="Hyperlink"/>
          <w:color w:val="000000" w:themeColor="text1"/>
          <w:sz w:val="24"/>
          <w:szCs w:val="24"/>
        </w:rPr>
      </w:pPr>
      <w:r w:rsidRPr="00D77EB7">
        <w:rPr>
          <w:rStyle w:val="Hyperlink"/>
          <w:color w:val="000000" w:themeColor="text1"/>
          <w:sz w:val="24"/>
          <w:szCs w:val="24"/>
        </w:rPr>
        <w:t>Suggested wording</w:t>
      </w:r>
      <w:r w:rsidR="00FE1F14">
        <w:rPr>
          <w:rStyle w:val="Hyperlink"/>
          <w:color w:val="000000" w:themeColor="text1"/>
          <w:sz w:val="24"/>
          <w:szCs w:val="24"/>
        </w:rPr>
        <w:t>:</w:t>
      </w:r>
    </w:p>
    <w:p w14:paraId="46CACEA8" w14:textId="77515F7B" w:rsidR="00533648" w:rsidRDefault="003021DB" w:rsidP="00533648">
      <w:pPr>
        <w:rPr>
          <w:rFonts w:cstheme="minorHAnsi"/>
          <w:i/>
          <w:color w:val="000000" w:themeColor="text1"/>
        </w:rPr>
      </w:pPr>
      <w:r>
        <w:rPr>
          <w:rStyle w:val="Hyperlink"/>
          <w:rFonts w:cstheme="minorHAnsi"/>
          <w:i/>
          <w:color w:val="000000" w:themeColor="text1"/>
        </w:rPr>
        <w:t>(</w:t>
      </w:r>
      <w:r>
        <w:rPr>
          <w:rFonts w:cstheme="minorHAnsi"/>
          <w:i/>
          <w:color w:val="000000" w:themeColor="text1"/>
        </w:rPr>
        <w:t xml:space="preserve">This suggested wording is a guide. You might need to make amendments to fit the individual circumstances of the pupil in question. You can also </w:t>
      </w:r>
      <w:r w:rsidR="00533648">
        <w:rPr>
          <w:rFonts w:cstheme="minorHAnsi"/>
          <w:i/>
          <w:color w:val="000000" w:themeColor="text1"/>
        </w:rPr>
        <w:t>refer</w:t>
      </w:r>
      <w:r>
        <w:rPr>
          <w:rFonts w:cstheme="minorHAnsi"/>
          <w:i/>
          <w:color w:val="000000" w:themeColor="text1"/>
        </w:rPr>
        <w:t xml:space="preserve"> to the above excerpts to strengthen your argument). </w:t>
      </w:r>
    </w:p>
    <w:p w14:paraId="1C028E1A" w14:textId="77777777" w:rsidR="006F67DF" w:rsidRDefault="006F67DF" w:rsidP="006F67DF">
      <w:pPr>
        <w:spacing w:after="0" w:line="240" w:lineRule="auto"/>
        <w:jc w:val="both"/>
        <w:rPr>
          <w:rFonts w:cstheme="minorHAnsi"/>
          <w:sz w:val="24"/>
          <w:szCs w:val="24"/>
        </w:rPr>
      </w:pPr>
      <w:r w:rsidRPr="006F67DF">
        <w:rPr>
          <w:rFonts w:cstheme="minorHAnsi"/>
          <w:b/>
          <w:bCs/>
          <w:sz w:val="24"/>
          <w:szCs w:val="24"/>
        </w:rPr>
        <w:t>{name of school}</w:t>
      </w:r>
      <w:r w:rsidRPr="006F67DF">
        <w:rPr>
          <w:rFonts w:cstheme="minorHAnsi"/>
          <w:sz w:val="24"/>
          <w:szCs w:val="24"/>
        </w:rPr>
        <w:t xml:space="preserve">’s governing board was bound by the principles of public law when considering </w:t>
      </w:r>
      <w:r w:rsidRPr="006F67DF">
        <w:rPr>
          <w:rFonts w:cstheme="minorHAnsi"/>
          <w:b/>
          <w:bCs/>
          <w:sz w:val="24"/>
          <w:szCs w:val="24"/>
        </w:rPr>
        <w:t>{name of young person}</w:t>
      </w:r>
      <w:r w:rsidRPr="006F67DF">
        <w:rPr>
          <w:rFonts w:cstheme="minorHAnsi"/>
          <w:sz w:val="24"/>
          <w:szCs w:val="24"/>
        </w:rPr>
        <w:t>’s permanent exclusion, including the requirement that the decision must be lawful.</w:t>
      </w:r>
    </w:p>
    <w:p w14:paraId="5D72C772" w14:textId="77777777" w:rsidR="006F67DF" w:rsidRPr="006F67DF" w:rsidRDefault="006F67DF" w:rsidP="006F67DF">
      <w:pPr>
        <w:spacing w:after="0" w:line="240" w:lineRule="auto"/>
        <w:jc w:val="both"/>
        <w:rPr>
          <w:rFonts w:cstheme="minorHAnsi"/>
          <w:sz w:val="24"/>
          <w:szCs w:val="24"/>
        </w:rPr>
      </w:pPr>
    </w:p>
    <w:p w14:paraId="29124208" w14:textId="77777777" w:rsidR="006F67DF" w:rsidRPr="006F67DF" w:rsidRDefault="006F67DF" w:rsidP="006F67DF">
      <w:pPr>
        <w:spacing w:after="0" w:line="240" w:lineRule="auto"/>
        <w:jc w:val="both"/>
        <w:rPr>
          <w:rFonts w:cstheme="minorHAnsi"/>
          <w:sz w:val="24"/>
          <w:szCs w:val="24"/>
        </w:rPr>
      </w:pPr>
      <w:r w:rsidRPr="006F67DF">
        <w:rPr>
          <w:rFonts w:cstheme="minorHAnsi"/>
          <w:sz w:val="24"/>
          <w:szCs w:val="24"/>
        </w:rPr>
        <w:t>In public law, “lawfulness” means that any decision the governing board takes must be one they have the legal authority to make.</w:t>
      </w:r>
    </w:p>
    <w:p w14:paraId="3C7BE46E" w14:textId="77777777" w:rsidR="006F67DF" w:rsidRDefault="006F67DF" w:rsidP="006F67DF">
      <w:pPr>
        <w:spacing w:after="0" w:line="240" w:lineRule="auto"/>
        <w:jc w:val="both"/>
        <w:rPr>
          <w:rFonts w:cstheme="minorHAnsi"/>
          <w:sz w:val="24"/>
          <w:szCs w:val="24"/>
        </w:rPr>
      </w:pPr>
      <w:r w:rsidRPr="006F67DF">
        <w:rPr>
          <w:rFonts w:cstheme="minorHAnsi"/>
          <w:sz w:val="24"/>
          <w:szCs w:val="24"/>
        </w:rPr>
        <w:lastRenderedPageBreak/>
        <w:t xml:space="preserve">The governing board has declined to reinstate </w:t>
      </w:r>
      <w:r w:rsidRPr="006F67DF">
        <w:rPr>
          <w:rFonts w:cstheme="minorHAnsi"/>
          <w:b/>
          <w:bCs/>
          <w:sz w:val="24"/>
          <w:szCs w:val="24"/>
        </w:rPr>
        <w:t>{name of young person}</w:t>
      </w:r>
      <w:r w:rsidRPr="006F67DF">
        <w:rPr>
          <w:rFonts w:cstheme="minorHAnsi"/>
          <w:sz w:val="24"/>
          <w:szCs w:val="24"/>
        </w:rPr>
        <w:t>, instead upholding the permanent exclusion. This is despite the governing board acknowledging, in the letter confirming their decision or in the minutes of their deliberations, that the headteacher’s decision to exclude was not in accordance with the general principles of public law.</w:t>
      </w:r>
    </w:p>
    <w:p w14:paraId="7E8D3DD9" w14:textId="77777777" w:rsidR="006F67DF" w:rsidRPr="006F67DF" w:rsidRDefault="006F67DF" w:rsidP="006F67DF">
      <w:pPr>
        <w:spacing w:after="0" w:line="240" w:lineRule="auto"/>
        <w:jc w:val="both"/>
        <w:rPr>
          <w:rFonts w:cstheme="minorHAnsi"/>
          <w:sz w:val="24"/>
          <w:szCs w:val="24"/>
        </w:rPr>
      </w:pPr>
    </w:p>
    <w:p w14:paraId="77F71A49" w14:textId="77777777" w:rsidR="006F67DF" w:rsidRPr="006F67DF" w:rsidRDefault="006F67DF" w:rsidP="006F67DF">
      <w:pPr>
        <w:spacing w:after="0" w:line="240" w:lineRule="auto"/>
        <w:jc w:val="both"/>
        <w:rPr>
          <w:rFonts w:cstheme="minorHAnsi"/>
          <w:sz w:val="24"/>
          <w:szCs w:val="24"/>
        </w:rPr>
      </w:pPr>
      <w:r w:rsidRPr="006F67DF">
        <w:rPr>
          <w:rFonts w:cstheme="minorHAnsi"/>
          <w:sz w:val="24"/>
          <w:szCs w:val="24"/>
        </w:rPr>
        <w:t xml:space="preserve">This is evident from their finding that </w:t>
      </w:r>
      <w:r w:rsidRPr="006F67DF">
        <w:rPr>
          <w:rFonts w:cstheme="minorHAnsi"/>
          <w:b/>
          <w:bCs/>
          <w:sz w:val="24"/>
          <w:szCs w:val="24"/>
        </w:rPr>
        <w:t>“{finding of the governors that shows their agreement that the exclusion was unlawful}”</w:t>
      </w:r>
      <w:r w:rsidRPr="006F67DF">
        <w:rPr>
          <w:rFonts w:cstheme="minorHAnsi"/>
          <w:sz w:val="24"/>
          <w:szCs w:val="24"/>
        </w:rPr>
        <w:t>.</w:t>
      </w:r>
    </w:p>
    <w:p w14:paraId="3CFFCED9" w14:textId="5A2CEA24" w:rsidR="00D62435" w:rsidRDefault="00000000" w:rsidP="007357E2">
      <w:pPr>
        <w:spacing w:after="0" w:line="240" w:lineRule="auto"/>
        <w:jc w:val="both"/>
        <w:rPr>
          <w:rStyle w:val="eop"/>
          <w:rFonts w:cstheme="minorHAnsi"/>
          <w:sz w:val="24"/>
          <w:szCs w:val="24"/>
        </w:rPr>
      </w:pPr>
      <w:r>
        <w:pict w14:anchorId="2A06991E">
          <v:rect id="_x0000_i1028" style="width:404.35pt;height:.4pt" o:hrpct="896" o:hralign="center" o:hrstd="t" o:hr="t" fillcolor="#a0a0a0" stroked="f"/>
        </w:pict>
      </w:r>
    </w:p>
    <w:p w14:paraId="6CEE86E5" w14:textId="77777777" w:rsidR="00D62435" w:rsidRPr="00D62435" w:rsidRDefault="00D62435" w:rsidP="007357E2">
      <w:pPr>
        <w:spacing w:after="0" w:line="240" w:lineRule="auto"/>
        <w:jc w:val="both"/>
        <w:rPr>
          <w:rStyle w:val="eop"/>
          <w:rFonts w:cstheme="minorHAnsi"/>
          <w:sz w:val="24"/>
          <w:szCs w:val="24"/>
        </w:rPr>
      </w:pPr>
    </w:p>
    <w:p w14:paraId="5DF61849" w14:textId="77777777" w:rsidR="006F67DF" w:rsidRPr="006F67DF" w:rsidRDefault="006F67DF" w:rsidP="006F67DF">
      <w:pPr>
        <w:rPr>
          <w:sz w:val="24"/>
          <w:szCs w:val="24"/>
        </w:rPr>
      </w:pPr>
      <w:r w:rsidRPr="006F67DF">
        <w:rPr>
          <w:sz w:val="24"/>
          <w:szCs w:val="24"/>
        </w:rPr>
        <w:t xml:space="preserve">Proportionality describes the balancing exercise between the impact of exclusion on </w:t>
      </w:r>
      <w:r w:rsidRPr="006F67DF">
        <w:rPr>
          <w:b/>
          <w:bCs/>
          <w:sz w:val="24"/>
          <w:szCs w:val="24"/>
        </w:rPr>
        <w:t>{name of young person}</w:t>
      </w:r>
      <w:r w:rsidRPr="006F67DF">
        <w:rPr>
          <w:sz w:val="24"/>
          <w:szCs w:val="24"/>
        </w:rPr>
        <w:t xml:space="preserve"> and the benefit gained by the school from having excluded them.</w:t>
      </w:r>
    </w:p>
    <w:p w14:paraId="450E8EDF" w14:textId="77777777" w:rsidR="006F67DF" w:rsidRPr="006F67DF" w:rsidRDefault="006F67DF" w:rsidP="006F67DF">
      <w:pPr>
        <w:rPr>
          <w:sz w:val="24"/>
          <w:szCs w:val="24"/>
        </w:rPr>
      </w:pPr>
      <w:r w:rsidRPr="006F67DF">
        <w:rPr>
          <w:sz w:val="24"/>
          <w:szCs w:val="24"/>
        </w:rPr>
        <w:t>This exercise should be considered in two ways:</w:t>
      </w:r>
    </w:p>
    <w:p w14:paraId="5A8BDF7F" w14:textId="77777777" w:rsidR="006F67DF" w:rsidRPr="006F67DF" w:rsidRDefault="006F67DF" w:rsidP="006F67DF">
      <w:pPr>
        <w:numPr>
          <w:ilvl w:val="0"/>
          <w:numId w:val="4"/>
        </w:numPr>
        <w:rPr>
          <w:sz w:val="24"/>
          <w:szCs w:val="24"/>
        </w:rPr>
      </w:pPr>
      <w:r w:rsidRPr="006F67DF">
        <w:rPr>
          <w:b/>
          <w:bCs/>
          <w:sz w:val="24"/>
          <w:szCs w:val="24"/>
        </w:rPr>
        <w:t>Does the punishment fit the behavioural infraction?</w:t>
      </w:r>
      <w:r w:rsidRPr="006F67DF">
        <w:rPr>
          <w:sz w:val="24"/>
          <w:szCs w:val="24"/>
        </w:rPr>
        <w:t xml:space="preserve"> If the impact of exclusion on the young person outweighs the seriousness of the misbehaviour, then the exclusion would be disproportionate.</w:t>
      </w:r>
    </w:p>
    <w:p w14:paraId="4309E6D9" w14:textId="77777777" w:rsidR="006F67DF" w:rsidRPr="006F67DF" w:rsidRDefault="006F67DF" w:rsidP="006F67DF">
      <w:pPr>
        <w:numPr>
          <w:ilvl w:val="0"/>
          <w:numId w:val="4"/>
        </w:numPr>
        <w:rPr>
          <w:sz w:val="24"/>
          <w:szCs w:val="24"/>
        </w:rPr>
      </w:pPr>
      <w:r w:rsidRPr="006F67DF">
        <w:rPr>
          <w:b/>
          <w:bCs/>
          <w:sz w:val="24"/>
          <w:szCs w:val="24"/>
        </w:rPr>
        <w:t>Does the benefit to the school community justify the personal cost to the young person?</w:t>
      </w:r>
      <w:r w:rsidRPr="006F67DF">
        <w:rPr>
          <w:sz w:val="24"/>
          <w:szCs w:val="24"/>
        </w:rPr>
        <w:t xml:space="preserve"> If the school is excluding the young person in the interests of other members of the school community, but the benefit to that community is small whereas the impact of the exclusion is significant, then the exclusion may be disproportionate.</w:t>
      </w:r>
    </w:p>
    <w:p w14:paraId="6DE9F942" w14:textId="77777777" w:rsidR="006F67DF" w:rsidRPr="006F67DF" w:rsidRDefault="006F67DF" w:rsidP="006F67DF">
      <w:pPr>
        <w:rPr>
          <w:sz w:val="24"/>
          <w:szCs w:val="24"/>
        </w:rPr>
      </w:pPr>
      <w:r w:rsidRPr="006F67DF">
        <w:rPr>
          <w:sz w:val="24"/>
          <w:szCs w:val="24"/>
        </w:rPr>
        <w:t xml:space="preserve">Therefore, by stating </w:t>
      </w:r>
      <w:r w:rsidRPr="006F67DF">
        <w:rPr>
          <w:b/>
          <w:bCs/>
          <w:sz w:val="24"/>
          <w:szCs w:val="24"/>
        </w:rPr>
        <w:t>“{finding of the governors that shows their agreement that the exclusion was disproportionate}”</w:t>
      </w:r>
      <w:r w:rsidRPr="006F67DF">
        <w:rPr>
          <w:sz w:val="24"/>
          <w:szCs w:val="24"/>
        </w:rPr>
        <w:t>, the governing board has clearly agreed that the exclusion amounted to a significant impact on the young person that is disproportionate to the objective being pursued.</w:t>
      </w:r>
    </w:p>
    <w:p w14:paraId="440C3E6E" w14:textId="77777777" w:rsidR="006F67DF" w:rsidRPr="006F67DF" w:rsidRDefault="006F67DF" w:rsidP="006F67DF">
      <w:pPr>
        <w:rPr>
          <w:sz w:val="24"/>
          <w:szCs w:val="24"/>
        </w:rPr>
      </w:pPr>
      <w:r w:rsidRPr="006F67DF">
        <w:rPr>
          <w:sz w:val="24"/>
          <w:szCs w:val="24"/>
        </w:rPr>
        <w:t>Despite this finding, the governing board decided to uphold the exclusion.</w:t>
      </w:r>
    </w:p>
    <w:p w14:paraId="03EDBE83" w14:textId="52C243E9" w:rsidR="00D62435" w:rsidRPr="00D62435" w:rsidRDefault="00000000" w:rsidP="00D62435">
      <w:pPr>
        <w:rPr>
          <w:rStyle w:val="eop"/>
          <w:rFonts w:cstheme="minorHAnsi"/>
          <w:sz w:val="24"/>
          <w:szCs w:val="24"/>
        </w:rPr>
      </w:pPr>
      <w:r>
        <w:rPr>
          <w:sz w:val="24"/>
          <w:szCs w:val="24"/>
        </w:rPr>
        <w:pict w14:anchorId="2107858C">
          <v:rect id="_x0000_i1029" style="width:404.35pt;height:.4pt" o:hrpct="896" o:hralign="center" o:hrstd="t" o:hr="t" fillcolor="#a0a0a0" stroked="f"/>
        </w:pict>
      </w:r>
    </w:p>
    <w:p w14:paraId="7FD11E07" w14:textId="77777777" w:rsidR="006F67DF" w:rsidRDefault="006F67DF" w:rsidP="006F67DF">
      <w:pPr>
        <w:spacing w:after="0" w:line="240" w:lineRule="auto"/>
        <w:jc w:val="both"/>
        <w:rPr>
          <w:rFonts w:cstheme="minorHAnsi"/>
          <w:sz w:val="24"/>
          <w:szCs w:val="24"/>
        </w:rPr>
      </w:pPr>
      <w:r w:rsidRPr="006F67DF">
        <w:rPr>
          <w:rFonts w:cstheme="minorHAnsi"/>
          <w:b/>
          <w:bCs/>
          <w:sz w:val="24"/>
          <w:szCs w:val="24"/>
        </w:rPr>
        <w:t>Fairness in public law</w:t>
      </w:r>
      <w:r w:rsidRPr="006F67DF">
        <w:rPr>
          <w:rFonts w:cstheme="minorHAnsi"/>
          <w:sz w:val="24"/>
          <w:szCs w:val="24"/>
        </w:rPr>
        <w:t xml:space="preserve"> describes the procedural steps taken to reach a decision. If those steps do not follow mandatory procedure, or are biased, erroneous, or otherwise unfair, then the resulting decision should be considered flawed.</w:t>
      </w:r>
    </w:p>
    <w:p w14:paraId="7446A6C6" w14:textId="77777777" w:rsidR="006F67DF" w:rsidRPr="006F67DF" w:rsidRDefault="006F67DF" w:rsidP="006F67DF">
      <w:pPr>
        <w:spacing w:after="0" w:line="240" w:lineRule="auto"/>
        <w:jc w:val="both"/>
        <w:rPr>
          <w:rFonts w:cstheme="minorHAnsi"/>
          <w:sz w:val="24"/>
          <w:szCs w:val="24"/>
        </w:rPr>
      </w:pPr>
    </w:p>
    <w:p w14:paraId="1479EBB4" w14:textId="77777777" w:rsidR="006F67DF" w:rsidRPr="006F67DF" w:rsidRDefault="006F67DF" w:rsidP="006F67DF">
      <w:pPr>
        <w:spacing w:after="0" w:line="240" w:lineRule="auto"/>
        <w:jc w:val="both"/>
        <w:rPr>
          <w:rFonts w:cstheme="minorHAnsi"/>
          <w:sz w:val="24"/>
          <w:szCs w:val="24"/>
        </w:rPr>
      </w:pPr>
      <w:r w:rsidRPr="006F67DF">
        <w:rPr>
          <w:rFonts w:cstheme="minorHAnsi"/>
          <w:sz w:val="24"/>
          <w:szCs w:val="24"/>
        </w:rPr>
        <w:t xml:space="preserve">Therefore, by stating </w:t>
      </w:r>
      <w:r w:rsidRPr="006F67DF">
        <w:rPr>
          <w:rFonts w:cstheme="minorHAnsi"/>
          <w:b/>
          <w:bCs/>
          <w:sz w:val="24"/>
          <w:szCs w:val="24"/>
        </w:rPr>
        <w:t>“{finding of the governors that shows their agreement that the exclusion was not procedurally fair}”</w:t>
      </w:r>
      <w:r w:rsidRPr="006F67DF">
        <w:rPr>
          <w:rFonts w:cstheme="minorHAnsi"/>
          <w:sz w:val="24"/>
          <w:szCs w:val="24"/>
        </w:rPr>
        <w:t xml:space="preserve">, the governing board has clearly agreed that the processes followed by the headteacher in deciding to exclude were flawed. The governing board should therefore have reinstated </w:t>
      </w:r>
      <w:r w:rsidRPr="006F67DF">
        <w:rPr>
          <w:rFonts w:cstheme="minorHAnsi"/>
          <w:b/>
          <w:bCs/>
          <w:sz w:val="24"/>
          <w:szCs w:val="24"/>
        </w:rPr>
        <w:t>{name of young person}</w:t>
      </w:r>
      <w:r w:rsidRPr="006F67DF">
        <w:rPr>
          <w:rFonts w:cstheme="minorHAnsi"/>
          <w:sz w:val="24"/>
          <w:szCs w:val="24"/>
        </w:rPr>
        <w:t>. Despite this, the governing board decided to uphold the exclusion.</w:t>
      </w:r>
    </w:p>
    <w:p w14:paraId="6BE7C379" w14:textId="647D35BA" w:rsidR="006F67DF" w:rsidRDefault="006F67DF" w:rsidP="006F67DF">
      <w:pPr>
        <w:spacing w:after="0" w:line="240" w:lineRule="auto"/>
        <w:jc w:val="both"/>
        <w:rPr>
          <w:rFonts w:cstheme="minorHAnsi"/>
          <w:b/>
          <w:bCs/>
          <w:sz w:val="24"/>
          <w:szCs w:val="24"/>
        </w:rPr>
      </w:pPr>
      <w:r>
        <w:rPr>
          <w:sz w:val="24"/>
          <w:szCs w:val="24"/>
        </w:rPr>
        <w:lastRenderedPageBreak/>
        <w:pict w14:anchorId="3542F351">
          <v:rect id="_x0000_i1035" style="width:404.35pt;height:.4pt" o:hrpct="896" o:hralign="center" o:hrstd="t" o:hr="t" fillcolor="#a0a0a0" stroked="f"/>
        </w:pict>
      </w:r>
    </w:p>
    <w:p w14:paraId="68F51B79" w14:textId="77777777" w:rsidR="006F67DF" w:rsidRDefault="006F67DF" w:rsidP="006F67DF">
      <w:pPr>
        <w:spacing w:after="0" w:line="240" w:lineRule="auto"/>
        <w:jc w:val="both"/>
        <w:rPr>
          <w:rFonts w:cstheme="minorHAnsi"/>
          <w:b/>
          <w:bCs/>
          <w:sz w:val="24"/>
          <w:szCs w:val="24"/>
        </w:rPr>
      </w:pPr>
    </w:p>
    <w:p w14:paraId="2454274B" w14:textId="32830F77" w:rsidR="006F67DF" w:rsidRDefault="006F67DF" w:rsidP="006F67DF">
      <w:pPr>
        <w:spacing w:after="0" w:line="240" w:lineRule="auto"/>
        <w:jc w:val="both"/>
        <w:rPr>
          <w:rFonts w:cstheme="minorHAnsi"/>
          <w:sz w:val="24"/>
          <w:szCs w:val="24"/>
        </w:rPr>
      </w:pPr>
      <w:r w:rsidRPr="006F67DF">
        <w:rPr>
          <w:rFonts w:cstheme="minorHAnsi"/>
          <w:b/>
          <w:bCs/>
          <w:sz w:val="24"/>
          <w:szCs w:val="24"/>
        </w:rPr>
        <w:t>Reasonableness</w:t>
      </w:r>
      <w:r w:rsidRPr="006F67DF">
        <w:rPr>
          <w:rFonts w:cstheme="minorHAnsi"/>
          <w:sz w:val="24"/>
          <w:szCs w:val="24"/>
        </w:rPr>
        <w:t xml:space="preserve"> requires that the conclusions drawn in deciding to exclude are of sufficient quality. It is sometimes referred to as the requirement that decisions be “rational.” There are three elements:</w:t>
      </w:r>
    </w:p>
    <w:p w14:paraId="05FF7E2B" w14:textId="77777777" w:rsidR="006F67DF" w:rsidRPr="006F67DF" w:rsidRDefault="006F67DF" w:rsidP="006F67DF">
      <w:pPr>
        <w:spacing w:after="0" w:line="240" w:lineRule="auto"/>
        <w:jc w:val="both"/>
        <w:rPr>
          <w:rFonts w:cstheme="minorHAnsi"/>
          <w:sz w:val="24"/>
          <w:szCs w:val="24"/>
        </w:rPr>
      </w:pPr>
    </w:p>
    <w:p w14:paraId="4B7425FD" w14:textId="77777777" w:rsidR="006F67DF" w:rsidRPr="006F67DF" w:rsidRDefault="006F67DF" w:rsidP="006F67DF">
      <w:pPr>
        <w:numPr>
          <w:ilvl w:val="0"/>
          <w:numId w:val="5"/>
        </w:numPr>
        <w:spacing w:after="0" w:line="240" w:lineRule="auto"/>
        <w:jc w:val="both"/>
        <w:rPr>
          <w:rFonts w:cstheme="minorHAnsi"/>
          <w:sz w:val="24"/>
          <w:szCs w:val="24"/>
        </w:rPr>
      </w:pPr>
      <w:r w:rsidRPr="006F67DF">
        <w:rPr>
          <w:rFonts w:cstheme="minorHAnsi"/>
          <w:b/>
          <w:bCs/>
          <w:sz w:val="24"/>
          <w:szCs w:val="24"/>
        </w:rPr>
        <w:t>Did the school consider factors it ought not to have considered?</w:t>
      </w:r>
      <w:r w:rsidRPr="006F67DF">
        <w:rPr>
          <w:rFonts w:cstheme="minorHAnsi"/>
          <w:sz w:val="24"/>
          <w:szCs w:val="24"/>
        </w:rPr>
        <w:t xml:space="preserve"> Relying on factors or information that are not relevant may cause the decision to be irrational and fail the reasonableness test.</w:t>
      </w:r>
    </w:p>
    <w:p w14:paraId="41E22829" w14:textId="77777777" w:rsidR="006F67DF" w:rsidRPr="006F67DF" w:rsidRDefault="006F67DF" w:rsidP="006F67DF">
      <w:pPr>
        <w:numPr>
          <w:ilvl w:val="0"/>
          <w:numId w:val="5"/>
        </w:numPr>
        <w:spacing w:after="0" w:line="240" w:lineRule="auto"/>
        <w:jc w:val="both"/>
        <w:rPr>
          <w:rFonts w:cstheme="minorHAnsi"/>
          <w:sz w:val="24"/>
          <w:szCs w:val="24"/>
        </w:rPr>
      </w:pPr>
      <w:r w:rsidRPr="006F67DF">
        <w:rPr>
          <w:rFonts w:cstheme="minorHAnsi"/>
          <w:b/>
          <w:bCs/>
          <w:sz w:val="24"/>
          <w:szCs w:val="24"/>
        </w:rPr>
        <w:t>Did the school fail to consider factors it ought to have considered?</w:t>
      </w:r>
      <w:r w:rsidRPr="006F67DF">
        <w:rPr>
          <w:rFonts w:cstheme="minorHAnsi"/>
          <w:sz w:val="24"/>
          <w:szCs w:val="24"/>
        </w:rPr>
        <w:t xml:space="preserve"> If there are relevant factors that the headteacher did not consider before deciding to exclude, then the decision may be irrational, and therefore the exclusion may be unreasonable.</w:t>
      </w:r>
    </w:p>
    <w:p w14:paraId="1C2B9127" w14:textId="77777777" w:rsidR="006F67DF" w:rsidRDefault="006F67DF" w:rsidP="006F67DF">
      <w:pPr>
        <w:numPr>
          <w:ilvl w:val="0"/>
          <w:numId w:val="5"/>
        </w:numPr>
        <w:spacing w:after="0" w:line="240" w:lineRule="auto"/>
        <w:jc w:val="both"/>
        <w:rPr>
          <w:rFonts w:cstheme="minorHAnsi"/>
          <w:sz w:val="24"/>
          <w:szCs w:val="24"/>
        </w:rPr>
      </w:pPr>
      <w:r w:rsidRPr="006F67DF">
        <w:rPr>
          <w:rFonts w:cstheme="minorHAnsi"/>
          <w:b/>
          <w:bCs/>
          <w:sz w:val="24"/>
          <w:szCs w:val="24"/>
        </w:rPr>
        <w:t>Was the decision to exclude so unreasonable that no reasonable headteacher would have made it?</w:t>
      </w:r>
      <w:r w:rsidRPr="006F67DF">
        <w:rPr>
          <w:rFonts w:cstheme="minorHAnsi"/>
          <w:sz w:val="24"/>
          <w:szCs w:val="24"/>
        </w:rPr>
        <w:t xml:space="preserve"> If the decision was made after considering the right information but plainly does not follow logically from that information, then it may be considered unreasonable.</w:t>
      </w:r>
    </w:p>
    <w:p w14:paraId="19EAA117" w14:textId="77777777" w:rsidR="006F67DF" w:rsidRPr="006F67DF" w:rsidRDefault="006F67DF" w:rsidP="006F67DF">
      <w:pPr>
        <w:spacing w:after="0" w:line="240" w:lineRule="auto"/>
        <w:ind w:left="720"/>
        <w:jc w:val="both"/>
        <w:rPr>
          <w:rFonts w:cstheme="minorHAnsi"/>
          <w:sz w:val="24"/>
          <w:szCs w:val="24"/>
        </w:rPr>
      </w:pPr>
    </w:p>
    <w:p w14:paraId="4E6C39FE" w14:textId="77777777" w:rsidR="006F67DF" w:rsidRPr="006F67DF" w:rsidRDefault="006F67DF" w:rsidP="006F67DF">
      <w:pPr>
        <w:spacing w:after="0" w:line="240" w:lineRule="auto"/>
        <w:jc w:val="both"/>
        <w:rPr>
          <w:rFonts w:cstheme="minorHAnsi"/>
          <w:sz w:val="24"/>
          <w:szCs w:val="24"/>
        </w:rPr>
      </w:pPr>
      <w:r w:rsidRPr="006F67DF">
        <w:rPr>
          <w:rFonts w:cstheme="minorHAnsi"/>
          <w:sz w:val="24"/>
          <w:szCs w:val="24"/>
        </w:rPr>
        <w:t xml:space="preserve">Therefore, by stating </w:t>
      </w:r>
      <w:r w:rsidRPr="006F67DF">
        <w:rPr>
          <w:rFonts w:cstheme="minorHAnsi"/>
          <w:b/>
          <w:bCs/>
          <w:sz w:val="24"/>
          <w:szCs w:val="24"/>
        </w:rPr>
        <w:t>“{finding of the governors that shows their agreement that the exclusion was unreasonable}”</w:t>
      </w:r>
      <w:r w:rsidRPr="006F67DF">
        <w:rPr>
          <w:rFonts w:cstheme="minorHAnsi"/>
          <w:sz w:val="24"/>
          <w:szCs w:val="24"/>
        </w:rPr>
        <w:t>, the governing board has clearly agreed that the exclusion amounted to a decision that was irrational under an administrative legal understanding of reasonableness. Despite this, the governing board decided to uphold the exclusion.</w:t>
      </w:r>
    </w:p>
    <w:p w14:paraId="5F4E2701" w14:textId="77777777" w:rsidR="00D62435" w:rsidRPr="00D62435" w:rsidRDefault="00D62435" w:rsidP="00D62435">
      <w:pPr>
        <w:spacing w:after="0" w:line="240" w:lineRule="auto"/>
        <w:jc w:val="both"/>
        <w:rPr>
          <w:rStyle w:val="eop"/>
          <w:rFonts w:cstheme="minorHAnsi"/>
          <w:sz w:val="24"/>
          <w:szCs w:val="24"/>
        </w:rPr>
      </w:pPr>
    </w:p>
    <w:p w14:paraId="1B2B9B94" w14:textId="77777777" w:rsidR="00D62435" w:rsidRPr="00D62435" w:rsidRDefault="00D62435" w:rsidP="007357E2">
      <w:pPr>
        <w:spacing w:after="0" w:line="240" w:lineRule="auto"/>
        <w:jc w:val="both"/>
        <w:rPr>
          <w:rStyle w:val="eop"/>
          <w:rFonts w:cstheme="minorHAnsi"/>
          <w:sz w:val="24"/>
          <w:szCs w:val="24"/>
        </w:rPr>
      </w:pPr>
    </w:p>
    <w:p w14:paraId="76C932FA" w14:textId="4DFF26E9" w:rsidR="007357E2" w:rsidRPr="00D62435" w:rsidRDefault="007357E2" w:rsidP="007357E2">
      <w:pPr>
        <w:spacing w:after="0" w:line="240" w:lineRule="auto"/>
        <w:jc w:val="both"/>
        <w:rPr>
          <w:rStyle w:val="eop"/>
          <w:rFonts w:cstheme="minorHAnsi"/>
          <w:sz w:val="24"/>
          <w:szCs w:val="24"/>
        </w:rPr>
      </w:pPr>
    </w:p>
    <w:sectPr w:rsidR="007357E2" w:rsidRPr="00D62435" w:rsidSect="009043F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113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64AF9" w14:textId="77777777" w:rsidR="008308BA" w:rsidRDefault="008308BA" w:rsidP="00AB1096">
      <w:pPr>
        <w:spacing w:after="0" w:line="240" w:lineRule="auto"/>
      </w:pPr>
      <w:r>
        <w:separator/>
      </w:r>
    </w:p>
  </w:endnote>
  <w:endnote w:type="continuationSeparator" w:id="0">
    <w:p w14:paraId="6C57172D" w14:textId="77777777" w:rsidR="008308BA" w:rsidRDefault="008308BA" w:rsidP="00AB1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FF816" w14:textId="77777777" w:rsidR="004C7E90" w:rsidRDefault="004C7E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35A01" w14:textId="77777777" w:rsidR="004F3FC5" w:rsidRDefault="004F3FC5" w:rsidP="00CC3BB7">
    <w:pPr>
      <w:pStyle w:val="Footer"/>
      <w:rPr>
        <w:color w:val="000000" w:themeColor="text1"/>
        <w:sz w:val="20"/>
        <w:szCs w:val="20"/>
      </w:rPr>
    </w:pPr>
  </w:p>
  <w:p w14:paraId="63908DDC" w14:textId="77777777" w:rsidR="004F3FC5" w:rsidRDefault="004F3FC5" w:rsidP="00CC3BB7">
    <w:pPr>
      <w:pStyle w:val="Footer"/>
      <w:rPr>
        <w:color w:val="000000" w:themeColor="text1"/>
        <w:sz w:val="20"/>
        <w:szCs w:val="20"/>
      </w:rPr>
    </w:pPr>
  </w:p>
  <w:p w14:paraId="21C20835" w14:textId="48FAD6AB" w:rsidR="00CC3BB7" w:rsidRPr="00CC3BB7" w:rsidRDefault="00CA2AE7" w:rsidP="00CC3BB7">
    <w:pPr>
      <w:pStyle w:val="Footer"/>
      <w:rPr>
        <w:color w:val="000000" w:themeColor="text1"/>
        <w:sz w:val="20"/>
        <w:szCs w:val="20"/>
      </w:rPr>
    </w:pPr>
    <w:r w:rsidRPr="00CC3BB7">
      <w:rPr>
        <w:color w:val="000000" w:themeColor="text1"/>
        <w:sz w:val="20"/>
        <w:szCs w:val="20"/>
      </w:rPr>
      <w:t>This information is co</w:t>
    </w:r>
    <w:r w:rsidR="00CC3BB7" w:rsidRPr="00CC3BB7">
      <w:rPr>
        <w:color w:val="000000" w:themeColor="text1"/>
        <w:sz w:val="20"/>
        <w:szCs w:val="20"/>
      </w:rPr>
      <w:t xml:space="preserve">rrect at the time of writing, </w:t>
    </w:r>
    <w:r w:rsidR="006F67DF">
      <w:rPr>
        <w:color w:val="000000" w:themeColor="text1"/>
        <w:sz w:val="20"/>
        <w:szCs w:val="20"/>
      </w:rPr>
      <w:t xml:space="preserve">23 September </w:t>
    </w:r>
    <w:r w:rsidR="006F67DF">
      <w:rPr>
        <w:color w:val="000000" w:themeColor="text1"/>
        <w:sz w:val="20"/>
        <w:szCs w:val="20"/>
      </w:rPr>
      <w:t>2025</w:t>
    </w:r>
  </w:p>
  <w:p w14:paraId="61F752FF" w14:textId="2BC1A203" w:rsidR="00CA2AE7" w:rsidRPr="00CC3BB7" w:rsidRDefault="00CA2AE7" w:rsidP="00CC3BB7">
    <w:pPr>
      <w:pStyle w:val="Footer"/>
      <w:rPr>
        <w:color w:val="000000" w:themeColor="text1"/>
        <w:sz w:val="20"/>
        <w:szCs w:val="20"/>
      </w:rPr>
    </w:pPr>
    <w:r w:rsidRPr="00CC3BB7">
      <w:rPr>
        <w:color w:val="000000" w:themeColor="text1"/>
        <w:sz w:val="20"/>
        <w:szCs w:val="20"/>
      </w:rPr>
      <w:t>The law in this area is subject to change. Coram Children’s Legal Centre cannot be held responsible if changes to the law outdate this publication. Individuals may print or photocopy information in CCLC publications for their personal use.</w:t>
    </w:r>
  </w:p>
  <w:p w14:paraId="6ECF54A8" w14:textId="77777777" w:rsidR="00CA2AE7" w:rsidRDefault="00CA2AE7" w:rsidP="00CC3B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6A3E8" w14:textId="77777777" w:rsidR="004C7E90" w:rsidRDefault="004C7E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9F2EE" w14:textId="77777777" w:rsidR="008308BA" w:rsidRDefault="008308BA" w:rsidP="00AB1096">
      <w:pPr>
        <w:spacing w:after="0" w:line="240" w:lineRule="auto"/>
      </w:pPr>
      <w:r>
        <w:separator/>
      </w:r>
    </w:p>
  </w:footnote>
  <w:footnote w:type="continuationSeparator" w:id="0">
    <w:p w14:paraId="6E73B929" w14:textId="77777777" w:rsidR="008308BA" w:rsidRDefault="008308BA" w:rsidP="00AB1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12D65" w14:textId="77777777" w:rsidR="004C7E90" w:rsidRDefault="004C7E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BFE4" w14:textId="77777777" w:rsidR="00AB1096" w:rsidRPr="003F645C" w:rsidRDefault="00AB1096" w:rsidP="00AB1096">
    <w:pPr>
      <w:pStyle w:val="Header"/>
      <w:rPr>
        <w:color w:val="C00000"/>
        <w:sz w:val="48"/>
        <w:szCs w:val="48"/>
      </w:rPr>
    </w:pPr>
    <w:r w:rsidRPr="003F645C">
      <w:rPr>
        <w:noProof/>
        <w:color w:val="C00000"/>
        <w:sz w:val="48"/>
        <w:szCs w:val="48"/>
        <w:lang w:eastAsia="en-GB"/>
      </w:rPr>
      <w:drawing>
        <wp:anchor distT="0" distB="0" distL="114300" distR="114300" simplePos="0" relativeHeight="251658240" behindDoc="0" locked="0" layoutInCell="1" allowOverlap="1" wp14:anchorId="0A8B60D5" wp14:editId="200E76B1">
          <wp:simplePos x="0" y="0"/>
          <wp:positionH relativeFrom="margin">
            <wp:posOffset>3868843</wp:posOffset>
          </wp:positionH>
          <wp:positionV relativeFrom="paragraph">
            <wp:posOffset>-847</wp:posOffset>
          </wp:positionV>
          <wp:extent cx="2494280" cy="829310"/>
          <wp:effectExtent l="0" t="0" r="1270" b="8890"/>
          <wp:wrapSquare wrapText="bothSides"/>
          <wp:docPr id="530612305"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612305"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94280" cy="829310"/>
                  </a:xfrm>
                  <a:prstGeom prst="rect">
                    <a:avLst/>
                  </a:prstGeom>
                </pic:spPr>
              </pic:pic>
            </a:graphicData>
          </a:graphic>
          <wp14:sizeRelH relativeFrom="page">
            <wp14:pctWidth>0</wp14:pctWidth>
          </wp14:sizeRelH>
          <wp14:sizeRelV relativeFrom="page">
            <wp14:pctHeight>0</wp14:pctHeight>
          </wp14:sizeRelV>
        </wp:anchor>
      </w:drawing>
    </w:r>
    <w:r w:rsidRPr="003F645C">
      <w:rPr>
        <w:color w:val="C00000"/>
        <w:sz w:val="48"/>
        <w:szCs w:val="48"/>
      </w:rPr>
      <w:t>School Exclusions Hub</w:t>
    </w:r>
  </w:p>
  <w:p w14:paraId="4ED0675E" w14:textId="0B6D8F17" w:rsidR="00B8152B" w:rsidRDefault="00D62049" w:rsidP="00696369">
    <w:pPr>
      <w:pStyle w:val="Header"/>
      <w:tabs>
        <w:tab w:val="clear" w:pos="4513"/>
        <w:tab w:val="clear" w:pos="9026"/>
        <w:tab w:val="left" w:pos="4068"/>
      </w:tabs>
      <w:rPr>
        <w:sz w:val="32"/>
        <w:szCs w:val="32"/>
      </w:rPr>
    </w:pPr>
    <w:r>
      <w:rPr>
        <w:b/>
        <w:bCs/>
        <w:sz w:val="32"/>
        <w:szCs w:val="32"/>
      </w:rPr>
      <w:t xml:space="preserve">Argument to the </w:t>
    </w:r>
    <w:r w:rsidR="00076E5B">
      <w:rPr>
        <w:b/>
        <w:bCs/>
        <w:sz w:val="32"/>
        <w:szCs w:val="32"/>
      </w:rPr>
      <w:t>IRP</w:t>
    </w:r>
    <w:r w:rsidR="00B8152B" w:rsidRPr="00B8152B">
      <w:rPr>
        <w:b/>
        <w:bCs/>
        <w:sz w:val="32"/>
        <w:szCs w:val="32"/>
      </w:rPr>
      <w:t>:</w:t>
    </w:r>
    <w:r w:rsidR="00B8152B" w:rsidRPr="00B8152B">
      <w:rPr>
        <w:sz w:val="32"/>
        <w:szCs w:val="32"/>
      </w:rPr>
      <w:t xml:space="preserve"> </w:t>
    </w:r>
    <w:r w:rsidR="00696369">
      <w:rPr>
        <w:sz w:val="32"/>
        <w:szCs w:val="32"/>
      </w:rPr>
      <w:tab/>
    </w:r>
  </w:p>
  <w:p w14:paraId="0FAA6698" w14:textId="243095CB" w:rsidR="007357E2" w:rsidRDefault="009C59FF" w:rsidP="00B72C5B">
    <w:pPr>
      <w:pStyle w:val="Header"/>
      <w:rPr>
        <w:sz w:val="32"/>
        <w:szCs w:val="32"/>
      </w:rPr>
    </w:pPr>
    <w:r w:rsidRPr="009C59FF">
      <w:rPr>
        <w:sz w:val="32"/>
        <w:szCs w:val="32"/>
      </w:rPr>
      <w:t>Governing board’s decision unlawful (administrative</w:t>
    </w:r>
    <w:r w:rsidR="00324235">
      <w:rPr>
        <w:sz w:val="32"/>
        <w:szCs w:val="32"/>
      </w:rPr>
      <w:t>/public</w:t>
    </w:r>
    <w:r w:rsidRPr="009C59FF">
      <w:rPr>
        <w:sz w:val="32"/>
        <w:szCs w:val="32"/>
      </w:rPr>
      <w:t xml:space="preserve"> law)</w:t>
    </w:r>
  </w:p>
  <w:p w14:paraId="1CBD9E2F" w14:textId="77777777" w:rsidR="00D346FA" w:rsidRPr="00AB1096" w:rsidRDefault="00D346FA" w:rsidP="00B72C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150EB" w14:textId="77777777" w:rsidR="004C7E90" w:rsidRDefault="004C7E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714DB8"/>
    <w:multiLevelType w:val="multilevel"/>
    <w:tmpl w:val="C8308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172804"/>
    <w:multiLevelType w:val="multilevel"/>
    <w:tmpl w:val="AA10A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583E80"/>
    <w:multiLevelType w:val="hybridMultilevel"/>
    <w:tmpl w:val="FCFE3B08"/>
    <w:lvl w:ilvl="0" w:tplc="8F94B4EA">
      <w:start w:val="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3D1D96"/>
    <w:multiLevelType w:val="hybridMultilevel"/>
    <w:tmpl w:val="7F02D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5158EC"/>
    <w:multiLevelType w:val="hybridMultilevel"/>
    <w:tmpl w:val="764E26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5541272">
    <w:abstractNumId w:val="3"/>
  </w:num>
  <w:num w:numId="2" w16cid:durableId="1598362972">
    <w:abstractNumId w:val="4"/>
  </w:num>
  <w:num w:numId="3" w16cid:durableId="2074347530">
    <w:abstractNumId w:val="2"/>
  </w:num>
  <w:num w:numId="4" w16cid:durableId="1663387399">
    <w:abstractNumId w:val="1"/>
  </w:num>
  <w:num w:numId="5" w16cid:durableId="48310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096"/>
    <w:rsid w:val="000638EE"/>
    <w:rsid w:val="00076E5B"/>
    <w:rsid w:val="000D57CB"/>
    <w:rsid w:val="00144ED7"/>
    <w:rsid w:val="00146838"/>
    <w:rsid w:val="00197D59"/>
    <w:rsid w:val="001B671D"/>
    <w:rsid w:val="001E10FF"/>
    <w:rsid w:val="001F4921"/>
    <w:rsid w:val="0023315E"/>
    <w:rsid w:val="00234B52"/>
    <w:rsid w:val="00240555"/>
    <w:rsid w:val="0024387E"/>
    <w:rsid w:val="00280F30"/>
    <w:rsid w:val="00281728"/>
    <w:rsid w:val="00293260"/>
    <w:rsid w:val="002A0A53"/>
    <w:rsid w:val="002E4A1D"/>
    <w:rsid w:val="003021DB"/>
    <w:rsid w:val="00322426"/>
    <w:rsid w:val="00324235"/>
    <w:rsid w:val="003570F1"/>
    <w:rsid w:val="00375B42"/>
    <w:rsid w:val="003B4076"/>
    <w:rsid w:val="003B5E76"/>
    <w:rsid w:val="003E3B8F"/>
    <w:rsid w:val="003F645C"/>
    <w:rsid w:val="003F7C65"/>
    <w:rsid w:val="00405E48"/>
    <w:rsid w:val="00436C08"/>
    <w:rsid w:val="004548FB"/>
    <w:rsid w:val="004C1EC4"/>
    <w:rsid w:val="004C455C"/>
    <w:rsid w:val="004C7E90"/>
    <w:rsid w:val="004D2E52"/>
    <w:rsid w:val="004D50EC"/>
    <w:rsid w:val="004F3FC5"/>
    <w:rsid w:val="00533648"/>
    <w:rsid w:val="00544AA4"/>
    <w:rsid w:val="00570927"/>
    <w:rsid w:val="005B54D2"/>
    <w:rsid w:val="005C4E96"/>
    <w:rsid w:val="005F5CD5"/>
    <w:rsid w:val="00620F96"/>
    <w:rsid w:val="006279BF"/>
    <w:rsid w:val="0066562D"/>
    <w:rsid w:val="00687BF5"/>
    <w:rsid w:val="00696369"/>
    <w:rsid w:val="006A2178"/>
    <w:rsid w:val="006A2A02"/>
    <w:rsid w:val="006B49EA"/>
    <w:rsid w:val="006E26C3"/>
    <w:rsid w:val="006F67DF"/>
    <w:rsid w:val="00702447"/>
    <w:rsid w:val="007357E2"/>
    <w:rsid w:val="007722CF"/>
    <w:rsid w:val="008308BA"/>
    <w:rsid w:val="0085490B"/>
    <w:rsid w:val="00873338"/>
    <w:rsid w:val="00891D60"/>
    <w:rsid w:val="008B63E4"/>
    <w:rsid w:val="008D616B"/>
    <w:rsid w:val="00900EC8"/>
    <w:rsid w:val="009043F7"/>
    <w:rsid w:val="00977767"/>
    <w:rsid w:val="009A2595"/>
    <w:rsid w:val="009C59FF"/>
    <w:rsid w:val="009D6DAE"/>
    <w:rsid w:val="009E4E09"/>
    <w:rsid w:val="00A22994"/>
    <w:rsid w:val="00A371C5"/>
    <w:rsid w:val="00AB1096"/>
    <w:rsid w:val="00AB6F0F"/>
    <w:rsid w:val="00B72C5B"/>
    <w:rsid w:val="00B8152B"/>
    <w:rsid w:val="00BC58FA"/>
    <w:rsid w:val="00BC67DA"/>
    <w:rsid w:val="00BD251A"/>
    <w:rsid w:val="00C3079E"/>
    <w:rsid w:val="00C65D2D"/>
    <w:rsid w:val="00C7087F"/>
    <w:rsid w:val="00C76A0A"/>
    <w:rsid w:val="00C83F35"/>
    <w:rsid w:val="00CA2AE7"/>
    <w:rsid w:val="00CC3BB7"/>
    <w:rsid w:val="00CD7AD4"/>
    <w:rsid w:val="00CF166E"/>
    <w:rsid w:val="00CF7BFC"/>
    <w:rsid w:val="00D30BBA"/>
    <w:rsid w:val="00D346FA"/>
    <w:rsid w:val="00D62049"/>
    <w:rsid w:val="00D62435"/>
    <w:rsid w:val="00D77EB7"/>
    <w:rsid w:val="00DD69A9"/>
    <w:rsid w:val="00E10899"/>
    <w:rsid w:val="00E1158D"/>
    <w:rsid w:val="00E22263"/>
    <w:rsid w:val="00E47765"/>
    <w:rsid w:val="00E8724F"/>
    <w:rsid w:val="00EC2388"/>
    <w:rsid w:val="00EE5D2B"/>
    <w:rsid w:val="00F1390F"/>
    <w:rsid w:val="00F3448B"/>
    <w:rsid w:val="00F36D5C"/>
    <w:rsid w:val="00F60126"/>
    <w:rsid w:val="00FE1F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7BFBE"/>
  <w15:chartTrackingRefBased/>
  <w15:docId w15:val="{1CFE420B-45CA-4BED-B3EE-CDCC70512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0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096"/>
  </w:style>
  <w:style w:type="paragraph" w:styleId="Footer">
    <w:name w:val="footer"/>
    <w:basedOn w:val="Normal"/>
    <w:link w:val="FooterChar"/>
    <w:uiPriority w:val="99"/>
    <w:unhideWhenUsed/>
    <w:rsid w:val="00AB10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096"/>
  </w:style>
  <w:style w:type="character" w:styleId="Hyperlink">
    <w:name w:val="Hyperlink"/>
    <w:basedOn w:val="DefaultParagraphFont"/>
    <w:uiPriority w:val="99"/>
    <w:unhideWhenUsed/>
    <w:rsid w:val="004548FB"/>
    <w:rPr>
      <w:color w:val="0563C1" w:themeColor="hyperlink"/>
      <w:u w:val="single"/>
    </w:rPr>
  </w:style>
  <w:style w:type="character" w:customStyle="1" w:styleId="UnresolvedMention1">
    <w:name w:val="Unresolved Mention1"/>
    <w:basedOn w:val="DefaultParagraphFont"/>
    <w:uiPriority w:val="99"/>
    <w:semiHidden/>
    <w:unhideWhenUsed/>
    <w:rsid w:val="004548FB"/>
    <w:rPr>
      <w:color w:val="605E5C"/>
      <w:shd w:val="clear" w:color="auto" w:fill="E1DFDD"/>
    </w:rPr>
  </w:style>
  <w:style w:type="paragraph" w:styleId="ListParagraph">
    <w:name w:val="List Paragraph"/>
    <w:basedOn w:val="Normal"/>
    <w:uiPriority w:val="34"/>
    <w:qFormat/>
    <w:rsid w:val="004548FB"/>
    <w:pPr>
      <w:ind w:left="720"/>
      <w:contextualSpacing/>
    </w:pPr>
  </w:style>
  <w:style w:type="character" w:styleId="PlaceholderText">
    <w:name w:val="Placeholder Text"/>
    <w:basedOn w:val="DefaultParagraphFont"/>
    <w:uiPriority w:val="99"/>
    <w:semiHidden/>
    <w:rsid w:val="00CA2AE7"/>
    <w:rPr>
      <w:color w:val="808080"/>
    </w:rPr>
  </w:style>
  <w:style w:type="character" w:customStyle="1" w:styleId="eop">
    <w:name w:val="eop"/>
    <w:basedOn w:val="DefaultParagraphFont"/>
    <w:rsid w:val="00533648"/>
  </w:style>
  <w:style w:type="character" w:styleId="UnresolvedMention">
    <w:name w:val="Unresolved Mention"/>
    <w:basedOn w:val="DefaultParagraphFont"/>
    <w:uiPriority w:val="99"/>
    <w:semiHidden/>
    <w:unhideWhenUsed/>
    <w:rsid w:val="00CF7BFC"/>
    <w:rPr>
      <w:color w:val="605E5C"/>
      <w:shd w:val="clear" w:color="auto" w:fill="E1DFDD"/>
    </w:rPr>
  </w:style>
  <w:style w:type="character" w:styleId="FollowedHyperlink">
    <w:name w:val="FollowedHyperlink"/>
    <w:basedOn w:val="DefaultParagraphFont"/>
    <w:uiPriority w:val="99"/>
    <w:semiHidden/>
    <w:unhideWhenUsed/>
    <w:rsid w:val="000D57CB"/>
    <w:rPr>
      <w:color w:val="954F72" w:themeColor="followedHyperlink"/>
      <w:u w:val="single"/>
    </w:rPr>
  </w:style>
  <w:style w:type="paragraph" w:customStyle="1" w:styleId="paragraph">
    <w:name w:val="paragraph"/>
    <w:basedOn w:val="Normal"/>
    <w:rsid w:val="00FE1F1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chool-exclusio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ov.uk/government/publications/school-exclusion" TargetMode="External"/><Relationship Id="rId4" Type="http://schemas.openxmlformats.org/officeDocument/2006/relationships/settings" Target="settings.xml"/><Relationship Id="rId9" Type="http://schemas.openxmlformats.org/officeDocument/2006/relationships/hyperlink" Target="https://www.gov.uk/government/publications/school-exclusion"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75F4B-3666-4EF3-92CB-51A55E01A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829</Words>
  <Characters>4727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Oldershaw</dc:creator>
  <cp:keywords/>
  <dc:description/>
  <cp:lastModifiedBy>Richard Oldershaw</cp:lastModifiedBy>
  <cp:revision>2</cp:revision>
  <dcterms:created xsi:type="dcterms:W3CDTF">2025-09-23T16:39:00Z</dcterms:created>
  <dcterms:modified xsi:type="dcterms:W3CDTF">2025-09-23T16:39:00Z</dcterms:modified>
</cp:coreProperties>
</file>